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l"/>
      </w:pPr>
      <w:r>
        <w:rPr>
          <w:rStyle w:val="rStyle"/>
        </w:rPr>
        <w:t xml:space="preserve">								      Приложение № 2.164</w:t>
      </w:r>
    </w:p>
    <w:p/>
    <w:p>
      <w:pPr>
        <w:pStyle w:val="pStylel"/>
      </w:pPr>
      <w:r>
        <w:rPr>
          <w:rStyle w:val="rStyle"/>
        </w:rPr>
        <w:t xml:space="preserve">							к приказу Министерства образования</w:t>
      </w:r>
    </w:p>
    <w:p>
      <w:pPr>
        <w:pStyle w:val="pStylel"/>
      </w:pPr>
      <w:r>
        <w:rPr>
          <w:rStyle w:val="rStyle"/>
        </w:rPr>
        <w:t xml:space="preserve">							      и науки Российской Федерации</w:t>
      </w:r>
    </w:p>
    <w:p>
      <w:pPr>
        <w:pStyle w:val="pStylel"/>
      </w:pPr>
      <w:r>
        <w:rPr>
          <w:rStyle w:val="rStyle"/>
        </w:rPr>
        <w:t xml:space="preserve">							      от « 28 » апреля 2018 г. № 347</w:t>
      </w:r>
    </w:p>
    <w:p/>
    <w:p/>
    <w:p>
      <w:pPr>
        <w:pStyle w:val="pStylec"/>
      </w:pPr>
      <w:r>
        <w:rPr>
          <w:rStyle w:val="rStyleb"/>
        </w:rPr>
        <w:t xml:space="preserve">Контрольные цифры приема по специальностям и (или) укрупненным группам направлений подготовки для обучения по не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аспирантуре, программам ординатуры, программам ассистентуры-стажировки) за счет бюджетных ассигнований федерального бюджета на 2019/20 учебный год по очной форме обучения</w:t>
      </w:r>
    </w:p>
    <w:p/>
    <w:p>
      <w:pPr>
        <w:pStyle w:val="pStylec"/>
      </w:pPr>
      <w:r>
        <w:rPr>
          <w:rStyle w:val="rStylebu"/>
        </w:rPr>
        <w:t xml:space="preserve">Федеральное государственное бюджетное научное учреждение «Федеральный научный центр «Кабардино-Балкарский научный центр Российской академии наук»</w:t>
      </w:r>
    </w:p>
    <w:p>
      <w:pPr>
        <w:pStyle w:val="pStylec"/>
      </w:pPr>
      <w:r>
        <w:rPr>
          <w:rStyle w:val="rStylebs"/>
        </w:rPr>
        <w:t xml:space="preserve">(наименование организации, осуществляющей образовательную деятельность)</w:t>
      </w:r>
    </w:p>
    <w:p/>
    <w:p/>
    <w:tbl>
      <w:tblGrid>
        <w:gridCol/>
        <w:gridCol/>
        <w:gridCol w:w="5000" w:type="dxa"/>
        <w:gridCol w:w="5000" w:type="dxa"/>
      </w:tblGrid>
      <w:tblPr>
        <w:tblStyle w:val="myOwnTableStyle"/>
      </w:tblPr>
      <w:tr>
        <w:trPr/>
        <w:tc>
          <w:tcPr>
            <w:tcW w:w="10000" w:type="dxa"/>
            <w:vAlign w:val="center"/>
            <w:vMerge w:val="restart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Наименование направления подготовки (укрупненной группы направлений подготовки)</w:t>
            </w:r>
          </w:p>
        </w:tc>
        <w:tc>
          <w:tcPr>
            <w:tcW w:w="3000" w:type="dxa"/>
            <w:vAlign w:val="center"/>
            <w:vMerge w:val="restart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Код направления подготовки (укрупненной группы направлений подготовки)</w:t>
            </w:r>
          </w:p>
        </w:tc>
        <w:tc>
          <w:tcPr>
            <w:tcW w:w="10000" w:type="dxa"/>
            <w:vAlign w:val="center"/>
            <w:gridSpan w:val="2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Контрольные цифры приема по направлениям подготовки и (или) укрупненным группам направлений подготовки для обучения по не имеющим государственной аккредитации образовательным программам подготовки научно-педагогических кадров в аспирантуре за счет бюджетных ассигнований федерального бюджета</w:t>
            </w:r>
          </w:p>
        </w:tc>
      </w:tr>
      <w:tr>
        <w:trPr/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5000" w:type="dxa"/>
            <w:vAlign w:val="center"/>
            <w:vMerge w:val="restart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Всего</w:t>
            </w:r>
          </w:p>
        </w:tc>
        <w:tc>
          <w:tcPr>
            <w:tcW w:w="5000" w:type="dxa"/>
            <w:vAlign w:val="center"/>
            <w:vMerge w:val="restart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из них по очной форме</w:t>
            </w:r>
          </w:p>
        </w:tc>
      </w:tr>
      <w:tr>
        <w:trPr/>
        <w:tc>
          <w:tcPr>
            <w:tcW w:w="10000" w:type="dxa"/>
            <w:vAlign w:val="center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</w:p>
        </w:tc>
        <w:tc>
          <w:tcPr>
            <w:tcW w:w="3000" w:type="dxa"/>
            <w:vAlign w:val="center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</w:p>
        </w:tc>
        <w:tc>
          <w:tcPr>
            <w:tcW w:w="5000" w:type="dxa"/>
            <w:vAlign w:val="center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</w:p>
        </w:tc>
        <w:tc>
          <w:tcPr>
            <w:tcW w:w="5000" w:type="dxa"/>
            <w:vAlign w:val="center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</w:t>
            </w:r>
          </w:p>
        </w:tc>
      </w:tr>
      <w:tr>
        <w:trPr/>
        <w:tc>
          <w:tcPr>
            <w:tcW w:w="10000" w:type="dxa"/>
          </w:tcPr>
          <w:p>
            <w:pP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Всего:</w:t>
            </w:r>
          </w:p>
        </w:tc>
        <w:tc>
          <w:tcPr>
            <w:tcW w:w="3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/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</w:p>
        </w:tc>
      </w:tr>
      <w:tr>
        <w:trPr/>
        <w:tc>
          <w:tcPr>
            <w:tcW w:w="10000" w:type="dxa"/>
          </w:tcPr>
          <w:p>
            <w:pP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Математика и механика</w:t>
            </w:r>
          </w:p>
        </w:tc>
        <w:tc>
          <w:tcPr>
            <w:tcW w:w="3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01.00.00</w:t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</w:p>
        </w:tc>
      </w:tr>
      <w:tr>
        <w:trPr/>
        <w:tc>
          <w:tcPr>
            <w:tcW w:w="10000" w:type="dxa"/>
          </w:tcPr>
          <w:p>
            <w:pP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Информатика и вычислительная техника</w:t>
            </w:r>
          </w:p>
        </w:tc>
        <w:tc>
          <w:tcPr>
            <w:tcW w:w="3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09.00.00</w:t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</w:p>
        </w:tc>
      </w:tr>
      <w:tr>
        <w:trPr/>
        <w:tc>
          <w:tcPr>
            <w:tcW w:w="10000" w:type="dxa"/>
          </w:tcPr>
          <w:p>
            <w:pP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Управление в технических системах</w:t>
            </w:r>
          </w:p>
        </w:tc>
        <w:tc>
          <w:tcPr>
            <w:tcW w:w="3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27.00.00</w:t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</w:p>
        </w:tc>
      </w:tr>
      <w:tr>
        <w:trPr/>
        <w:tc>
          <w:tcPr>
            <w:tcW w:w="10000" w:type="dxa"/>
          </w:tcPr>
          <w:p>
            <w:pP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Сельское, лесное и рыбное хозяйство</w:t>
            </w:r>
          </w:p>
        </w:tc>
        <w:tc>
          <w:tcPr>
            <w:tcW w:w="3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35.00.00</w:t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</w:p>
        </w:tc>
      </w:tr>
      <w:tr>
        <w:trPr/>
        <w:tc>
          <w:tcPr>
            <w:tcW w:w="10000" w:type="dxa"/>
          </w:tcPr>
          <w:p>
            <w:pP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Экономика и управление</w:t>
            </w:r>
          </w:p>
        </w:tc>
        <w:tc>
          <w:tcPr>
            <w:tcW w:w="3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38.00.00</w:t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</w:p>
        </w:tc>
      </w:tr>
    </w:tbl>
    <w:sectPr>
      <w:pgSz w:orient="portrait" w:w="11870" w:h="16787"/>
      <w:pgMar w:top="1500" w:right="600" w:bottom="800" w:left="150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Times New Roman" w:hAnsi="Times New Roman" w:eastAsia="Times New Roman" w:cs="Times New Roman"/>
      <w:sz w:val="28"/>
      <w:szCs w:val="28"/>
    </w:rPr>
  </w:style>
  <w:style w:type="paragraph" w:customStyle="1" w:styleId="pStyle">
    <w:name w:val="pStyle"/>
    <w:basedOn w:val="Normal"/>
    <w:pPr>
      <w:jc w:val="right"/>
      <w:spacing w:after="0"/>
    </w:pPr>
  </w:style>
  <w:style w:type="paragraph" w:customStyle="1" w:styleId="pStylel">
    <w:name w:val="pStylel"/>
    <w:basedOn w:val="Normal"/>
    <w:pPr>
      <w:jc w:val="left"/>
      <w:spacing w:after="0"/>
    </w:pPr>
  </w:style>
  <w:style w:type="paragraph" w:customStyle="1" w:styleId="pStylec">
    <w:name w:val="pStylec"/>
    <w:basedOn w:val="Normal"/>
    <w:pPr>
      <w:jc w:val="center"/>
      <w:spacing w:after="0"/>
    </w:pPr>
  </w:style>
  <w:style w:type="character">
    <w:name w:val="rStyleb"/>
    <w:rPr>
      <w:rFonts w:ascii="Times New Roman" w:hAnsi="Times New Roman" w:eastAsia="Times New Roman" w:cs="Times New Roman"/>
      <w:sz w:val="28"/>
      <w:szCs w:val="28"/>
    </w:rPr>
  </w:style>
  <w:style w:type="character">
    <w:name w:val="rStylebu"/>
    <w:rPr>
      <w:rFonts w:ascii="Times New Roman" w:hAnsi="Times New Roman" w:eastAsia="Times New Roman" w:cs="Times New Roman"/>
      <w:sz w:val="28"/>
      <w:szCs w:val="28"/>
    </w:rPr>
  </w:style>
  <w:style w:type="character">
    <w:name w:val="rStylebs"/>
    <w:rPr>
      <w:rFonts w:ascii="Times New Roman" w:hAnsi="Times New Roman" w:eastAsia="Times New Roman" w:cs="Times New Roman"/>
      <w:sz w:val="20"/>
      <w:szCs w:val="20"/>
      <w:i/>
      <w:iCs/>
    </w:rPr>
  </w:style>
  <w:style w:type="table" w:customStyle="1" w:styleId="myOwnTableStyle">
    <w:name w:val="myOwnTableStyle"/>
    <w:uiPriority w:val="99"/>
    <w:tblPr>
      <w:tblW w:w="0" w:type="auto"/>
      <w:tblCellMar>
        <w:top w:w="60" w:type="dxa"/>
        <w:left w:w="60" w:type="dxa"/>
        <w:right w:w="60" w:type="dxa"/>
        <w:bottom w:w="6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  <w:tblStylePr w:type="firstRow">
      <w:tcPr>
        <w:tcPr>
          <w:shd w:val="clear" w:color="" w:fill="FFFF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2018-04-27T15:47:03+00:00</dcterms:created>
  <dcterms:modified xsi:type="dcterms:W3CDTF">2018-04-27T15:47:03+00:00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